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center"/>
        <w:rPr>
          <w:rFonts w:hint="default" w:asciiTheme="majorEastAsia" w:hAnsiTheme="majorEastAsia" w:eastAsiaTheme="majorEastAsia" w:cstheme="minorBidi"/>
          <w:b/>
          <w:bCs w:val="0"/>
          <w:kern w:val="2"/>
          <w:sz w:val="22"/>
          <w:szCs w:val="21"/>
          <w:lang w:val="en-US" w:eastAsia="zh-CN" w:bidi="ar-SA"/>
        </w:rPr>
      </w:pPr>
      <w:r>
        <w:rPr>
          <w:rFonts w:hint="default" w:ascii="Helvetica Neue" w:hAnsi="Helvetica Neue" w:eastAsia="Helvetica Neue" w:cs="Helvetica Neue"/>
          <w:b/>
          <w:bCs w:val="0"/>
          <w:i w:val="0"/>
          <w:caps w:val="0"/>
          <w:vanish/>
          <w:color w:val="607FA6"/>
          <w:spacing w:val="0"/>
          <w:kern w:val="0"/>
          <w:sz w:val="24"/>
          <w:szCs w:val="24"/>
          <w:u w:val="none"/>
          <w:shd w:val="clear" w:fill="FFFFFF"/>
          <w:lang w:val="en-US" w:eastAsia="zh-CN" w:bidi="ar"/>
        </w:rPr>
        <w:fldChar w:fldCharType="begin"/>
      </w:r>
      <w:r>
        <w:rPr>
          <w:rFonts w:hint="default" w:ascii="Helvetica Neue" w:hAnsi="Helvetica Neue" w:eastAsia="Helvetica Neue" w:cs="Helvetica Neue"/>
          <w:b/>
          <w:bCs w:val="0"/>
          <w:i w:val="0"/>
          <w:caps w:val="0"/>
          <w:vanish/>
          <w:color w:val="607FA6"/>
          <w:spacing w:val="0"/>
          <w:kern w:val="0"/>
          <w:sz w:val="24"/>
          <w:szCs w:val="24"/>
          <w:u w:val="none"/>
          <w:shd w:val="clear" w:fill="FFFFFF"/>
          <w:lang w:val="en-US" w:eastAsia="zh-CN" w:bidi="ar"/>
        </w:rPr>
        <w:instrText xml:space="preserve"> HYPERLINK "https://mp.weixin.qq.com/s?__biz=MzAwMDg0NDIzMA==&amp;mid=2651838099&amp;idx=1&amp;sn=54d4ff6ef2cc920e8b0a27d26f2276c9&amp;chksm=8119be3ab66e372c11a1efdcfa925144540b08a5c330c748c7540384a3fb77f6de39ad17195e" \l "#" </w:instrText>
      </w:r>
      <w:r>
        <w:rPr>
          <w:rFonts w:hint="default" w:ascii="Helvetica Neue" w:hAnsi="Helvetica Neue" w:eastAsia="Helvetica Neue" w:cs="Helvetica Neue"/>
          <w:b/>
          <w:bCs w:val="0"/>
          <w:i w:val="0"/>
          <w:caps w:val="0"/>
          <w:vanish/>
          <w:color w:val="607FA6"/>
          <w:spacing w:val="0"/>
          <w:kern w:val="0"/>
          <w:sz w:val="24"/>
          <w:szCs w:val="24"/>
          <w:u w:val="none"/>
          <w:shd w:val="clear" w:fill="FFFFFF"/>
          <w:lang w:val="en-US" w:eastAsia="zh-CN" w:bidi="ar"/>
        </w:rPr>
        <w:fldChar w:fldCharType="separate"/>
      </w:r>
      <w:r>
        <w:rPr>
          <w:rStyle w:val="8"/>
          <w:rFonts w:hint="default" w:ascii="Helvetica Neue" w:hAnsi="Helvetica Neue" w:eastAsia="Helvetica Neue" w:cs="Helvetica Neue"/>
          <w:b/>
          <w:bCs w:val="0"/>
          <w:i w:val="0"/>
          <w:caps w:val="0"/>
          <w:vanish/>
          <w:color w:val="607FA6"/>
          <w:spacing w:val="0"/>
          <w:sz w:val="24"/>
          <w:szCs w:val="24"/>
          <w:u w:val="none"/>
          <w:shd w:val="clear" w:fill="FFFFFF"/>
        </w:rPr>
        <w:t>国家机器人检测与评定中心总部</w:t>
      </w:r>
      <w:r>
        <w:rPr>
          <w:rFonts w:hint="default" w:ascii="Helvetica Neue" w:hAnsi="Helvetica Neue" w:eastAsia="Helvetica Neue" w:cs="Helvetica Neue"/>
          <w:b/>
          <w:bCs w:val="0"/>
          <w:i w:val="0"/>
          <w:caps w:val="0"/>
          <w:vanish/>
          <w:color w:val="607FA6"/>
          <w:spacing w:val="0"/>
          <w:kern w:val="0"/>
          <w:sz w:val="24"/>
          <w:szCs w:val="24"/>
          <w:u w:val="none"/>
          <w:shd w:val="clear" w:fill="FFFFFF"/>
          <w:lang w:val="en-US" w:eastAsia="zh-CN" w:bidi="ar"/>
        </w:rPr>
        <w:fldChar w:fldCharType="end"/>
      </w:r>
      <w:r>
        <w:rPr>
          <w:b/>
          <w:bCs w:val="0"/>
          <w:i w:val="0"/>
          <w:caps w:val="0"/>
          <w:color w:val="000000"/>
          <w:spacing w:val="0"/>
          <w:sz w:val="36"/>
          <w:szCs w:val="36"/>
          <w:shd w:val="clear" w:fill="FFFFFF"/>
        </w:rPr>
        <w:t>工业机器人的安全和EMC</w:t>
      </w:r>
      <w:r>
        <w:rPr>
          <w:rFonts w:hint="eastAsia"/>
          <w:b/>
          <w:bCs w:val="0"/>
          <w:i w:val="0"/>
          <w:caps w:val="0"/>
          <w:color w:val="000000"/>
          <w:spacing w:val="0"/>
          <w:sz w:val="36"/>
          <w:szCs w:val="36"/>
          <w:shd w:val="clear" w:fill="FFFFFF"/>
          <w:lang w:val="en-US" w:eastAsia="zh-CN"/>
        </w:rPr>
        <w:t xml:space="preserve"> </w:t>
      </w:r>
      <w:bookmarkStart w:id="0" w:name="_GoBack"/>
      <w:bookmarkEnd w:id="0"/>
      <w:r>
        <w:rPr>
          <w:rFonts w:hint="eastAsia"/>
          <w:b/>
          <w:bCs w:val="0"/>
          <w:i w:val="0"/>
          <w:caps w:val="0"/>
          <w:color w:val="000000"/>
          <w:spacing w:val="0"/>
          <w:sz w:val="36"/>
          <w:szCs w:val="36"/>
          <w:shd w:val="clear" w:fill="FFFFFF"/>
        </w:rPr>
        <w:t>CR</w:t>
      </w:r>
      <w:r>
        <w:rPr>
          <w:b/>
          <w:bCs w:val="0"/>
          <w:i w:val="0"/>
          <w:caps w:val="0"/>
          <w:color w:val="000000"/>
          <w:spacing w:val="0"/>
          <w:sz w:val="36"/>
          <w:szCs w:val="36"/>
          <w:shd w:val="clear" w:fill="FFFFFF"/>
        </w:rPr>
        <w:t>认证实施规则</w:t>
      </w:r>
      <w:r>
        <w:rPr>
          <w:rFonts w:hint="eastAsia"/>
          <w:b/>
          <w:bCs w:val="0"/>
          <w:i w:val="0"/>
          <w:caps w:val="0"/>
          <w:color w:val="000000"/>
          <w:spacing w:val="0"/>
          <w:sz w:val="36"/>
          <w:szCs w:val="36"/>
          <w:shd w:val="clear" w:fill="FFFFFF"/>
          <w:lang w:eastAsia="zh-CN"/>
        </w:rPr>
        <w:t>解读</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Theme="majorEastAsia" w:hAnsiTheme="majorEastAsia" w:eastAsiaTheme="majorEastAsia" w:cstheme="minorBidi"/>
          <w:b/>
          <w:bCs w:val="0"/>
          <w:kern w:val="2"/>
          <w:sz w:val="22"/>
          <w:szCs w:val="21"/>
          <w:lang w:val="en-US" w:eastAsia="zh-CN" w:bidi="ar-SA"/>
        </w:rPr>
        <w:br w:type="textWrapping"/>
      </w:r>
      <w:r>
        <w:rPr>
          <w:rFonts w:hint="default" w:ascii="仿宋_GB2312" w:hAnsi="华文楷体" w:eastAsia="仿宋_GB2312" w:cstheme="minorBidi"/>
          <w:b/>
          <w:bCs w:val="0"/>
          <w:kern w:val="2"/>
          <w:sz w:val="24"/>
          <w:szCs w:val="22"/>
          <w:lang w:val="en-US" w:eastAsia="zh-CN" w:bidi="ar-SA"/>
        </w:rPr>
        <w:t>1． 适用范围</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right="0" w:firstLine="440" w:firstLineChars="200"/>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本认证规则适用于各类工业机器人（参照GB/T 12643-2013《机器人与机器人装备词汇》中的定义），考虑到机器的注意事项、危险的程度、危害情况及所涉及事件、电磁干扰等进行的基本安全设计、防护措施、使用信息要求及可靠性方面的安全和电磁兼容（EMC）认证。</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4"/>
          <w:szCs w:val="22"/>
          <w:lang w:val="en-US" w:eastAsia="zh-CN" w:bidi="ar-SA"/>
        </w:rPr>
        <w:t>2． 认证模式</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生产企业可以按照表1选择适宜的认证模式：</w:t>
      </w:r>
    </w:p>
    <w:p>
      <w:pPr>
        <w:spacing w:line="360" w:lineRule="auto"/>
        <w:ind w:firstLine="330" w:firstLineChars="150"/>
        <w:jc w:val="center"/>
        <w:rPr>
          <w:rFonts w:hint="eastAsia" w:ascii="仿宋_GB2312" w:hAnsi="华文楷体" w:eastAsia="仿宋_GB2312"/>
          <w:bCs/>
          <w:sz w:val="22"/>
          <w:szCs w:val="21"/>
        </w:rPr>
      </w:pPr>
      <w:r>
        <w:rPr>
          <w:rFonts w:hint="eastAsia" w:ascii="仿宋_GB2312" w:hAnsi="华文楷体" w:eastAsia="仿宋_GB2312"/>
          <w:bCs/>
          <w:sz w:val="22"/>
          <w:szCs w:val="21"/>
        </w:rPr>
        <w:t>表1-认证模式分类</w:t>
      </w:r>
    </w:p>
    <w:tbl>
      <w:tblPr>
        <w:tblStyle w:val="9"/>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94" w:type="dxa"/>
            <w:vAlign w:val="top"/>
          </w:tcPr>
          <w:p>
            <w:pPr>
              <w:spacing w:line="360" w:lineRule="auto"/>
              <w:jc w:val="center"/>
              <w:rPr>
                <w:rFonts w:hint="eastAsia" w:ascii="仿宋_GB2312" w:hAnsi="华文楷体" w:eastAsia="仿宋_GB2312"/>
                <w:b/>
                <w:bCs/>
                <w:sz w:val="22"/>
                <w:szCs w:val="21"/>
              </w:rPr>
            </w:pPr>
            <w:r>
              <w:rPr>
                <w:rFonts w:hint="eastAsia" w:ascii="仿宋_GB2312" w:hAnsi="华文楷体" w:eastAsia="仿宋_GB2312"/>
                <w:b/>
                <w:bCs/>
                <w:sz w:val="22"/>
                <w:szCs w:val="21"/>
              </w:rPr>
              <w:t>认证模式</w:t>
            </w:r>
          </w:p>
        </w:tc>
        <w:tc>
          <w:tcPr>
            <w:tcW w:w="5381" w:type="dxa"/>
            <w:vAlign w:val="top"/>
          </w:tcPr>
          <w:p>
            <w:pPr>
              <w:spacing w:line="360" w:lineRule="auto"/>
              <w:jc w:val="center"/>
              <w:rPr>
                <w:rFonts w:hint="eastAsia" w:ascii="仿宋_GB2312" w:hAnsi="华文楷体" w:eastAsia="仿宋_GB2312"/>
                <w:b/>
                <w:bCs/>
                <w:sz w:val="22"/>
                <w:szCs w:val="21"/>
              </w:rPr>
            </w:pPr>
            <w:r>
              <w:rPr>
                <w:rFonts w:hint="eastAsia" w:ascii="仿宋_GB2312" w:hAnsi="华文楷体" w:eastAsia="仿宋_GB2312"/>
                <w:b/>
                <w:bCs/>
                <w:sz w:val="22"/>
                <w:szCs w:val="21"/>
              </w:rPr>
              <w:t>认证模式说明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94" w:type="dxa"/>
            <w:vAlign w:val="top"/>
          </w:tcPr>
          <w:p>
            <w:pPr>
              <w:spacing w:line="360" w:lineRule="auto"/>
              <w:rPr>
                <w:rFonts w:hint="eastAsia" w:ascii="仿宋_GB2312" w:hAnsi="华文楷体" w:eastAsia="仿宋_GB2312"/>
                <w:bCs/>
                <w:sz w:val="22"/>
                <w:szCs w:val="21"/>
              </w:rPr>
            </w:pPr>
            <w:r>
              <w:rPr>
                <w:rFonts w:hint="eastAsia" w:ascii="仿宋_GB2312" w:hAnsi="华文楷体" w:eastAsia="仿宋_GB2312"/>
                <w:bCs/>
                <w:sz w:val="22"/>
                <w:szCs w:val="21"/>
              </w:rPr>
              <w:t>模式A：产品型式试验</w:t>
            </w:r>
          </w:p>
        </w:tc>
        <w:tc>
          <w:tcPr>
            <w:tcW w:w="5381" w:type="dxa"/>
            <w:vAlign w:val="top"/>
          </w:tcPr>
          <w:p>
            <w:pPr>
              <w:spacing w:line="360" w:lineRule="auto"/>
              <w:rPr>
                <w:rFonts w:hint="eastAsia" w:ascii="仿宋_GB2312" w:hAnsi="华文楷体" w:eastAsia="仿宋_GB2312"/>
                <w:bCs/>
                <w:sz w:val="22"/>
                <w:szCs w:val="21"/>
              </w:rPr>
            </w:pPr>
            <w:r>
              <w:rPr>
                <w:rFonts w:hint="eastAsia" w:ascii="仿宋_GB2312" w:hAnsi="华文楷体" w:eastAsia="仿宋_GB2312"/>
                <w:bCs/>
                <w:sz w:val="22"/>
                <w:szCs w:val="21"/>
              </w:rPr>
              <w:t>证书有效期为2年。</w:t>
            </w:r>
          </w:p>
          <w:p>
            <w:pPr>
              <w:spacing w:line="360" w:lineRule="auto"/>
              <w:rPr>
                <w:rFonts w:hint="eastAsia" w:ascii="仿宋_GB2312" w:hAnsi="华文楷体" w:eastAsia="仿宋_GB2312"/>
                <w:bCs/>
                <w:sz w:val="22"/>
                <w:szCs w:val="21"/>
              </w:rPr>
            </w:pPr>
            <w:r>
              <w:rPr>
                <w:rFonts w:hint="eastAsia" w:ascii="仿宋_GB2312" w:hAnsi="华文楷体" w:eastAsia="仿宋_GB2312"/>
                <w:bCs/>
                <w:sz w:val="22"/>
                <w:szCs w:val="21"/>
              </w:rPr>
              <w:t>生产企业保证其生产过程能确保产品与通过认证的型式一致，作一致性声明。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94" w:type="dxa"/>
            <w:vAlign w:val="top"/>
          </w:tcPr>
          <w:p>
            <w:pPr>
              <w:spacing w:line="360" w:lineRule="auto"/>
              <w:rPr>
                <w:rFonts w:hint="eastAsia" w:ascii="仿宋_GB2312" w:hAnsi="华文楷体" w:eastAsia="仿宋_GB2312"/>
                <w:bCs/>
                <w:sz w:val="22"/>
                <w:szCs w:val="21"/>
              </w:rPr>
            </w:pPr>
            <w:r>
              <w:rPr>
                <w:rFonts w:hint="eastAsia" w:ascii="仿宋_GB2312" w:hAnsi="华文楷体" w:eastAsia="仿宋_GB2312"/>
                <w:bCs/>
                <w:sz w:val="22"/>
                <w:szCs w:val="21"/>
              </w:rPr>
              <w:t>模式B：产品型式试验+初次工厂检查+获证后监督</w:t>
            </w:r>
          </w:p>
        </w:tc>
        <w:tc>
          <w:tcPr>
            <w:tcW w:w="5381" w:type="dxa"/>
            <w:vAlign w:val="top"/>
          </w:tcPr>
          <w:p>
            <w:pPr>
              <w:spacing w:line="360" w:lineRule="auto"/>
              <w:rPr>
                <w:rFonts w:hint="eastAsia" w:ascii="仿宋_GB2312" w:hAnsi="华文楷体" w:eastAsia="仿宋_GB2312"/>
                <w:bCs/>
                <w:sz w:val="22"/>
                <w:szCs w:val="21"/>
              </w:rPr>
            </w:pPr>
            <w:r>
              <w:rPr>
                <w:rFonts w:hint="eastAsia" w:ascii="仿宋_GB2312" w:hAnsi="华文楷体" w:eastAsia="仿宋_GB2312"/>
                <w:bCs/>
                <w:sz w:val="22"/>
                <w:szCs w:val="21"/>
              </w:rPr>
              <w:t>产品证书为5年，有效期内的证书有效性依据获证后的监督维持。</w:t>
            </w:r>
          </w:p>
        </w:tc>
      </w:tr>
    </w:tbl>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Theme="majorEastAsia" w:hAnsiTheme="majorEastAsia" w:eastAsiaTheme="majorEastAsia" w:cstheme="minorBidi"/>
          <w:b w:val="0"/>
          <w:bCs/>
          <w:kern w:val="2"/>
          <w:sz w:val="22"/>
          <w:szCs w:val="21"/>
          <w:lang w:val="en-US" w:eastAsia="zh-CN" w:bidi="ar-SA"/>
        </w:rPr>
        <w:br w:type="textWrapping"/>
      </w:r>
      <w:r>
        <w:rPr>
          <w:rFonts w:hint="default" w:ascii="仿宋_GB2312" w:hAnsi="华文楷体" w:eastAsia="仿宋_GB2312" w:cstheme="minorBidi"/>
          <w:b w:val="0"/>
          <w:bCs/>
          <w:kern w:val="2"/>
          <w:sz w:val="22"/>
          <w:szCs w:val="21"/>
          <w:lang w:val="en-US" w:eastAsia="zh-CN" w:bidi="ar-SA"/>
        </w:rPr>
        <w:t>认证的基本环节包括：</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eastAsia" w:ascii="仿宋_GB2312" w:hAnsi="华文楷体" w:eastAsia="仿宋_GB2312" w:cstheme="minorBidi"/>
          <w:b w:val="0"/>
          <w:bCs/>
          <w:kern w:val="2"/>
          <w:sz w:val="22"/>
          <w:szCs w:val="21"/>
          <w:lang w:val="en-US" w:eastAsia="zh-CN" w:bidi="ar-SA"/>
        </w:rPr>
        <w:t xml:space="preserve">a) </w:t>
      </w:r>
      <w:r>
        <w:rPr>
          <w:rFonts w:hint="default" w:ascii="仿宋_GB2312" w:hAnsi="华文楷体" w:eastAsia="仿宋_GB2312" w:cstheme="minorBidi"/>
          <w:b w:val="0"/>
          <w:bCs/>
          <w:kern w:val="2"/>
          <w:sz w:val="22"/>
          <w:szCs w:val="21"/>
          <w:lang w:val="en-US" w:eastAsia="zh-CN" w:bidi="ar-SA"/>
        </w:rPr>
        <w:t>认证的申请</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b) 型式试验</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c) 初始工厂检查（模式B适用）</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d) 认证结果评价与批准</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e) 获证后的监督（模式B适用）</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f) 复审</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4"/>
          <w:szCs w:val="22"/>
          <w:lang w:val="en-US" w:eastAsia="zh-CN" w:bidi="ar-SA"/>
        </w:rPr>
        <w:t>3. 认证申请</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申请人申请认证时可以选择安全认证、电磁兼容认证或安全+电磁兼容认证。</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3.1 认证单元划分</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val="0"/>
          <w:bCs/>
          <w:kern w:val="2"/>
          <w:sz w:val="22"/>
          <w:szCs w:val="21"/>
          <w:lang w:val="en-US" w:eastAsia="zh-CN" w:bidi="ar-SA"/>
        </w:rPr>
      </w:pPr>
      <w:r>
        <w:rPr>
          <w:rFonts w:hint="eastAsia" w:ascii="仿宋_GB2312" w:hAnsi="华文楷体" w:eastAsia="仿宋_GB2312" w:cstheme="minorBidi"/>
          <w:b w:val="0"/>
          <w:bCs/>
          <w:kern w:val="2"/>
          <w:sz w:val="22"/>
          <w:szCs w:val="21"/>
          <w:lang w:val="en-US" w:eastAsia="zh-CN" w:bidi="ar-SA"/>
        </w:rPr>
        <w:t xml:space="preserve">a) </w:t>
      </w:r>
      <w:r>
        <w:rPr>
          <w:rFonts w:hint="default" w:ascii="仿宋_GB2312" w:hAnsi="华文楷体" w:eastAsia="仿宋_GB2312" w:cstheme="minorBidi"/>
          <w:b w:val="0"/>
          <w:bCs/>
          <w:kern w:val="2"/>
          <w:sz w:val="22"/>
          <w:szCs w:val="21"/>
          <w:lang w:val="en-US" w:eastAsia="zh-CN" w:bidi="ar-SA"/>
        </w:rPr>
        <w:t>原则上以同一生产厂的同一基本型号为一个认证申请单元。不同的生产场地的产品为不同的申请单元，型式试验仅在一个生产企业的样品上进行，必要时，其他生产企业应提供样品和相关资料供认证机构进行一致性核查。</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b) 产品内部或系统电气结构和对产品安全和EMC性能有重要影响的元件相同的整机，可作为一个单元申请认证。</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val="0"/>
          <w:bCs/>
          <w:kern w:val="2"/>
          <w:sz w:val="22"/>
          <w:szCs w:val="21"/>
          <w:lang w:val="en-US" w:eastAsia="zh-CN" w:bidi="ar-SA"/>
        </w:rPr>
        <w:t>3.2 申请认证提交资料</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bCs w:val="0"/>
          <w:kern w:val="2"/>
          <w:sz w:val="22"/>
          <w:szCs w:val="21"/>
          <w:lang w:val="en-US" w:eastAsia="zh-CN" w:bidi="ar-SA"/>
        </w:rPr>
        <w:t>3.2.1申请资料</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eastAsia" w:ascii="仿宋_GB2312" w:hAnsi="华文楷体" w:eastAsia="仿宋_GB2312" w:cstheme="minorBidi"/>
          <w:b w:val="0"/>
          <w:bCs/>
          <w:kern w:val="2"/>
          <w:sz w:val="22"/>
          <w:szCs w:val="21"/>
          <w:lang w:val="en-US" w:eastAsia="zh-CN" w:bidi="ar-SA"/>
        </w:rPr>
        <w:t xml:space="preserve">a) </w:t>
      </w:r>
      <w:r>
        <w:rPr>
          <w:rFonts w:hint="default" w:ascii="仿宋_GB2312" w:hAnsi="华文楷体" w:eastAsia="仿宋_GB2312" w:cstheme="minorBidi"/>
          <w:b w:val="0"/>
          <w:bCs/>
          <w:kern w:val="2"/>
          <w:sz w:val="22"/>
          <w:szCs w:val="21"/>
          <w:lang w:val="en-US" w:eastAsia="zh-CN" w:bidi="ar-SA"/>
        </w:rPr>
        <w:t>正式申请书(网络填写申请书后打印或下载空白申请书填写)</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b) 工厂检查调查表（模式B首次申请时）</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c) 产品描述</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3.2.2证明资料</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eastAsia" w:ascii="仿宋_GB2312" w:hAnsi="华文楷体" w:eastAsia="仿宋_GB2312" w:cstheme="minorBidi"/>
          <w:b w:val="0"/>
          <w:bCs/>
          <w:kern w:val="2"/>
          <w:sz w:val="22"/>
          <w:szCs w:val="21"/>
          <w:lang w:val="en-US" w:eastAsia="zh-CN" w:bidi="ar-SA"/>
        </w:rPr>
        <w:t xml:space="preserve">a) </w:t>
      </w:r>
      <w:r>
        <w:rPr>
          <w:rFonts w:hint="default" w:ascii="仿宋_GB2312" w:hAnsi="华文楷体" w:eastAsia="仿宋_GB2312" w:cstheme="minorBidi"/>
          <w:b w:val="0"/>
          <w:bCs/>
          <w:kern w:val="2"/>
          <w:sz w:val="22"/>
          <w:szCs w:val="21"/>
          <w:lang w:val="en-US" w:eastAsia="zh-CN" w:bidi="ar-SA"/>
        </w:rPr>
        <w:t>委托人、生产者、生产企业的注册证明如营业执照、组织机构代码（首次申请时）</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b) 委托人为销售者、进口商时，还须提交销售者和生产者、进口商和生产者订立的相关合同副本</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c) 代理人的授权委托书（如有）</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d) 有效的监督检查报告或工厂检查报告（如有）</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e) 其他需要的文件</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3.2.3提供与产品有关的资料</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eastAsia" w:ascii="仿宋_GB2312" w:hAnsi="华文楷体" w:eastAsia="仿宋_GB2312" w:cstheme="minorBidi"/>
          <w:b w:val="0"/>
          <w:bCs/>
          <w:kern w:val="2"/>
          <w:sz w:val="22"/>
          <w:szCs w:val="21"/>
          <w:lang w:val="en-US" w:eastAsia="zh-CN" w:bidi="ar-SA"/>
        </w:rPr>
        <w:t xml:space="preserve">a) </w:t>
      </w:r>
      <w:r>
        <w:rPr>
          <w:rFonts w:hint="default" w:ascii="仿宋_GB2312" w:hAnsi="华文楷体" w:eastAsia="仿宋_GB2312" w:cstheme="minorBidi"/>
          <w:b w:val="0"/>
          <w:bCs/>
          <w:kern w:val="2"/>
          <w:sz w:val="22"/>
          <w:szCs w:val="21"/>
          <w:lang w:val="en-US" w:eastAsia="zh-CN" w:bidi="ar-SA"/>
        </w:rPr>
        <w:t>产品总装图、电器原理图、产品说明书等</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b) 电参数表</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c) 关键零部件/元器件清单</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d) 同一申请单元内各个型号产品之间的差异说明</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val="0"/>
          <w:bCs/>
          <w:kern w:val="2"/>
          <w:sz w:val="24"/>
          <w:szCs w:val="22"/>
          <w:lang w:val="en-US" w:eastAsia="zh-CN" w:bidi="ar-SA"/>
        </w:rPr>
        <w:br w:type="textWrapping"/>
      </w:r>
      <w:r>
        <w:rPr>
          <w:rFonts w:hint="default" w:ascii="仿宋_GB2312" w:hAnsi="华文楷体" w:eastAsia="仿宋_GB2312" w:cstheme="minorBidi"/>
          <w:b/>
          <w:bCs w:val="0"/>
          <w:kern w:val="2"/>
          <w:sz w:val="24"/>
          <w:szCs w:val="22"/>
          <w:lang w:val="en-US" w:eastAsia="zh-CN" w:bidi="ar-SA"/>
        </w:rPr>
        <w:t>4. 型式试验</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bCs w:val="0"/>
          <w:kern w:val="2"/>
          <w:sz w:val="22"/>
          <w:szCs w:val="21"/>
          <w:lang w:val="en-US" w:eastAsia="zh-CN" w:bidi="ar-SA"/>
        </w:rPr>
        <w:t>4.1样品</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bCs w:val="0"/>
          <w:kern w:val="2"/>
          <w:sz w:val="22"/>
          <w:szCs w:val="21"/>
          <w:lang w:val="en-US" w:eastAsia="zh-CN" w:bidi="ar-SA"/>
        </w:rPr>
        <w:t>4.1.1申请单元中只有一个型号的，选该型号为样品</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以系列产品为同一申请单元申请认证时，样品应从系列产品中选取具有代表性的型号，并且选取的样品应尽可能覆盖系列产品的安全和EMC要求，不能覆盖时，还应选取申请单元内的其他型号样品做补充差异试验。</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4.1.2 样品数量</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申请单元代表性型号样品数量为1套，补充试验样品数量视代表性型号样品覆盖申请单元内产品的安全和EMC要求的实际情况而定，代表性型号样品与补充试验样品在能覆盖申请单元内系列产品安全和EMC要求的前提下，应尽可能减少补充试验样品数量和补充试验项目。</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4.1.3样品及资料处置</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360" w:lineRule="auto"/>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试验结束并出具试验报告后，有关试验记录和相关资料由检测机构保存，样品由认证机构和企业协商处置。</w:t>
      </w:r>
      <w:r>
        <w:rPr>
          <w:rFonts w:hint="default" w:ascii="仿宋_GB2312" w:hAnsi="华文楷体" w:eastAsia="仿宋_GB2312" w:cstheme="minorBidi"/>
          <w:b w:val="0"/>
          <w:bCs/>
          <w:kern w:val="2"/>
          <w:sz w:val="22"/>
          <w:szCs w:val="21"/>
          <w:lang w:val="en-US" w:eastAsia="zh-CN" w:bidi="ar-SA"/>
        </w:rPr>
        <w:br w:type="textWrapping"/>
      </w:r>
      <w:r>
        <w:rPr>
          <w:rFonts w:hint="default" w:ascii="仿宋_GB2312" w:hAnsi="华文楷体" w:eastAsia="仿宋_GB2312" w:cstheme="minorBidi"/>
          <w:b/>
          <w:bCs w:val="0"/>
          <w:kern w:val="2"/>
          <w:sz w:val="22"/>
          <w:szCs w:val="21"/>
          <w:lang w:val="en-US" w:eastAsia="zh-CN" w:bidi="ar-SA"/>
        </w:rPr>
        <w:t>4.2型式试验</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bCs w:val="0"/>
          <w:kern w:val="2"/>
          <w:sz w:val="22"/>
          <w:szCs w:val="21"/>
          <w:lang w:val="en-US" w:eastAsia="zh-CN" w:bidi="ar-SA"/>
        </w:rPr>
      </w:pPr>
      <w:r>
        <w:rPr>
          <w:rFonts w:hint="default" w:ascii="仿宋_GB2312" w:hAnsi="华文楷体" w:eastAsia="仿宋_GB2312" w:cstheme="minorBidi"/>
          <w:b/>
          <w:bCs w:val="0"/>
          <w:kern w:val="2"/>
          <w:sz w:val="22"/>
          <w:szCs w:val="21"/>
          <w:lang w:val="en-US" w:eastAsia="zh-CN" w:bidi="ar-SA"/>
        </w:rPr>
        <w:t>4.2.1依据标准</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jc w:val="left"/>
        <w:rPr>
          <w:rFonts w:hint="default" w:ascii="仿宋_GB2312" w:hAnsi="华文楷体" w:eastAsia="仿宋_GB2312" w:cstheme="minorBidi"/>
          <w:b w:val="0"/>
          <w:bCs/>
          <w:kern w:val="2"/>
          <w:sz w:val="22"/>
          <w:szCs w:val="21"/>
          <w:lang w:val="en-US" w:eastAsia="zh-CN" w:bidi="ar-SA"/>
        </w:rPr>
      </w:pPr>
      <w:r>
        <w:rPr>
          <w:rFonts w:hint="default" w:ascii="仿宋_GB2312" w:hAnsi="华文楷体" w:eastAsia="仿宋_GB2312" w:cstheme="minorBidi"/>
          <w:b w:val="0"/>
          <w:bCs/>
          <w:kern w:val="2"/>
          <w:sz w:val="22"/>
          <w:szCs w:val="21"/>
          <w:lang w:val="en-US" w:eastAsia="zh-CN" w:bidi="ar-SA"/>
        </w:rPr>
        <w:t>申请方应按照下表列出的标准申请产品认证：</w:t>
      </w:r>
    </w:p>
    <w:p>
      <w:pPr>
        <w:spacing w:before="40" w:after="40" w:line="360" w:lineRule="auto"/>
        <w:ind w:firstLine="405"/>
        <w:rPr>
          <w:rFonts w:hint="eastAsia" w:ascii="仿宋_GB2312" w:hAnsi="华文楷体" w:eastAsia="仿宋_GB2312"/>
          <w:bCs/>
          <w:sz w:val="22"/>
          <w:szCs w:val="21"/>
        </w:rPr>
      </w:pPr>
      <w:r>
        <w:rPr>
          <w:rFonts w:hint="eastAsia" w:ascii="仿宋_GB2312" w:hAnsi="华文楷体" w:eastAsia="仿宋_GB2312"/>
          <w:bCs/>
          <w:sz w:val="22"/>
          <w:szCs w:val="21"/>
        </w:rPr>
        <w:t>（1）对应国内销售的机器人认证：</w:t>
      </w:r>
    </w:p>
    <w:tbl>
      <w:tblPr>
        <w:tblStyle w:val="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699"/>
        <w:gridCol w:w="432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序号</w:t>
            </w:r>
          </w:p>
        </w:tc>
        <w:tc>
          <w:tcPr>
            <w:tcW w:w="2699"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标准编号</w:t>
            </w:r>
          </w:p>
        </w:tc>
        <w:tc>
          <w:tcPr>
            <w:tcW w:w="4320"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标准名称</w:t>
            </w:r>
          </w:p>
        </w:tc>
        <w:tc>
          <w:tcPr>
            <w:tcW w:w="1372"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1</w:t>
            </w:r>
          </w:p>
        </w:tc>
        <w:tc>
          <w:tcPr>
            <w:tcW w:w="2699" w:type="dxa"/>
            <w:vAlign w:val="center"/>
          </w:tcPr>
          <w:p>
            <w:pPr>
              <w:rPr>
                <w:rFonts w:hint="eastAsia" w:ascii="仿宋_GB2312" w:hAnsi="华文楷体" w:eastAsia="仿宋_GB2312"/>
                <w:bCs/>
                <w:sz w:val="22"/>
                <w:szCs w:val="21"/>
              </w:rPr>
            </w:pPr>
            <w:r>
              <w:rPr>
                <w:rFonts w:ascii="仿宋_GB2312" w:hAnsi="华文楷体" w:eastAsia="仿宋_GB2312"/>
                <w:bCs/>
                <w:sz w:val="22"/>
                <w:szCs w:val="21"/>
              </w:rPr>
              <w:t>GB 5226.1-2008</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机械电气安全 机械电气设备 第1部分：通用技术条件</w:t>
            </w:r>
          </w:p>
        </w:tc>
        <w:tc>
          <w:tcPr>
            <w:tcW w:w="137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2</w:t>
            </w:r>
          </w:p>
        </w:tc>
        <w:tc>
          <w:tcPr>
            <w:tcW w:w="2699" w:type="dxa"/>
            <w:vAlign w:val="center"/>
          </w:tcPr>
          <w:p>
            <w:pPr>
              <w:rPr>
                <w:rFonts w:ascii="仿宋_GB2312" w:hAnsi="华文楷体" w:eastAsia="仿宋_GB2312"/>
                <w:bCs/>
                <w:sz w:val="22"/>
                <w:szCs w:val="21"/>
              </w:rPr>
            </w:pPr>
            <w:r>
              <w:rPr>
                <w:rFonts w:ascii="仿宋_GB2312" w:hAnsi="华文楷体" w:eastAsia="仿宋_GB2312"/>
                <w:bCs/>
                <w:sz w:val="22"/>
                <w:szCs w:val="21"/>
              </w:rPr>
              <w:t>GB/T 15706-2012</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机械安全 设计通则 风险评估与风险减小</w:t>
            </w:r>
          </w:p>
        </w:tc>
        <w:tc>
          <w:tcPr>
            <w:tcW w:w="137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3</w:t>
            </w:r>
          </w:p>
        </w:tc>
        <w:tc>
          <w:tcPr>
            <w:tcW w:w="2699" w:type="dxa"/>
            <w:vAlign w:val="center"/>
          </w:tcPr>
          <w:p>
            <w:pPr>
              <w:rPr>
                <w:rFonts w:hint="eastAsia" w:ascii="仿宋_GB2312" w:hAnsi="华文楷体" w:eastAsia="仿宋_GB2312"/>
                <w:bCs/>
                <w:sz w:val="22"/>
                <w:szCs w:val="21"/>
              </w:rPr>
            </w:pPr>
            <w:r>
              <w:rPr>
                <w:rFonts w:ascii="仿宋_GB2312" w:hAnsi="华文楷体" w:eastAsia="仿宋_GB2312"/>
                <w:bCs/>
                <w:sz w:val="22"/>
                <w:szCs w:val="21"/>
              </w:rPr>
              <w:t>GB 11291.2-2013</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机器人与机器人装备 工业机器人的安全要求 第2部分：机器人系统与集成</w:t>
            </w:r>
          </w:p>
        </w:tc>
        <w:tc>
          <w:tcPr>
            <w:tcW w:w="137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针对机器人系统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4</w:t>
            </w:r>
          </w:p>
        </w:tc>
        <w:tc>
          <w:tcPr>
            <w:tcW w:w="2699" w:type="dxa"/>
            <w:vAlign w:val="center"/>
          </w:tcPr>
          <w:p>
            <w:pPr>
              <w:rPr>
                <w:rFonts w:ascii="仿宋_GB2312" w:hAnsi="华文楷体" w:eastAsia="仿宋_GB2312"/>
                <w:bCs/>
                <w:sz w:val="22"/>
                <w:szCs w:val="21"/>
              </w:rPr>
            </w:pPr>
            <w:r>
              <w:rPr>
                <w:rFonts w:ascii="仿宋_GB2312" w:hAnsi="华文楷体" w:eastAsia="仿宋_GB2312"/>
                <w:bCs/>
                <w:sz w:val="22"/>
                <w:szCs w:val="21"/>
              </w:rPr>
              <w:t>GB/T 17799.1-1999</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电磁兼容 通用标准 居住、商业和轻工业环境中的抗扰度试验</w:t>
            </w:r>
          </w:p>
        </w:tc>
        <w:tc>
          <w:tcPr>
            <w:tcW w:w="1372"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针对轻工业环境中使用的机器人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5</w:t>
            </w:r>
          </w:p>
        </w:tc>
        <w:tc>
          <w:tcPr>
            <w:tcW w:w="2699" w:type="dxa"/>
            <w:vAlign w:val="center"/>
          </w:tcPr>
          <w:p>
            <w:pPr>
              <w:rPr>
                <w:rFonts w:ascii="仿宋_GB2312" w:hAnsi="华文楷体" w:eastAsia="仿宋_GB2312"/>
                <w:bCs/>
                <w:sz w:val="22"/>
                <w:szCs w:val="21"/>
              </w:rPr>
            </w:pPr>
            <w:r>
              <w:rPr>
                <w:rFonts w:ascii="仿宋_GB2312" w:hAnsi="华文楷体" w:eastAsia="仿宋_GB2312"/>
                <w:bCs/>
                <w:sz w:val="22"/>
                <w:szCs w:val="21"/>
              </w:rPr>
              <w:t>GB 17799.3-2012</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电磁兼容 通用标准 居住、商业和轻工业环境中的发射</w:t>
            </w:r>
          </w:p>
        </w:tc>
        <w:tc>
          <w:tcPr>
            <w:tcW w:w="1372" w:type="dxa"/>
            <w:vMerge w:val="continue"/>
            <w:vAlign w:val="center"/>
          </w:tcPr>
          <w:p>
            <w:pPr>
              <w:jc w:val="center"/>
              <w:rPr>
                <w:rFonts w:hint="eastAsia" w:ascii="仿宋_GB2312" w:hAnsi="华文楷体" w:eastAsia="仿宋_GB2312"/>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6</w:t>
            </w:r>
          </w:p>
        </w:tc>
        <w:tc>
          <w:tcPr>
            <w:tcW w:w="2699" w:type="dxa"/>
            <w:vAlign w:val="center"/>
          </w:tcPr>
          <w:p>
            <w:pPr>
              <w:rPr>
                <w:rFonts w:ascii="仿宋_GB2312" w:hAnsi="华文楷体" w:eastAsia="仿宋_GB2312"/>
                <w:bCs/>
                <w:sz w:val="22"/>
                <w:szCs w:val="21"/>
              </w:rPr>
            </w:pPr>
            <w:r>
              <w:rPr>
                <w:rFonts w:ascii="仿宋_GB2312" w:hAnsi="华文楷体" w:eastAsia="仿宋_GB2312"/>
                <w:bCs/>
                <w:sz w:val="22"/>
                <w:szCs w:val="21"/>
              </w:rPr>
              <w:t>GB/T 17799.2-2003</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电磁兼容 通用标准 工业环境中的抗扰度试验</w:t>
            </w:r>
          </w:p>
        </w:tc>
        <w:tc>
          <w:tcPr>
            <w:tcW w:w="1372"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7</w:t>
            </w:r>
          </w:p>
        </w:tc>
        <w:tc>
          <w:tcPr>
            <w:tcW w:w="2699" w:type="dxa"/>
            <w:vAlign w:val="center"/>
          </w:tcPr>
          <w:p>
            <w:pPr>
              <w:rPr>
                <w:rFonts w:ascii="仿宋_GB2312" w:hAnsi="华文楷体" w:eastAsia="仿宋_GB2312"/>
                <w:bCs/>
                <w:sz w:val="22"/>
                <w:szCs w:val="21"/>
              </w:rPr>
            </w:pPr>
            <w:r>
              <w:rPr>
                <w:rFonts w:ascii="仿宋_GB2312" w:hAnsi="华文楷体" w:eastAsia="仿宋_GB2312"/>
                <w:bCs/>
                <w:sz w:val="22"/>
                <w:szCs w:val="21"/>
              </w:rPr>
              <w:t>GB 17799.4-2012</w:t>
            </w:r>
          </w:p>
        </w:tc>
        <w:tc>
          <w:tcPr>
            <w:tcW w:w="4320" w:type="dxa"/>
            <w:vAlign w:val="center"/>
          </w:tcPr>
          <w:p>
            <w:pPr>
              <w:rPr>
                <w:rFonts w:hint="eastAsia" w:ascii="仿宋_GB2312" w:hAnsi="华文楷体" w:eastAsia="仿宋_GB2312"/>
                <w:bCs/>
                <w:sz w:val="22"/>
                <w:szCs w:val="21"/>
              </w:rPr>
            </w:pPr>
            <w:r>
              <w:rPr>
                <w:rFonts w:hint="eastAsia" w:ascii="仿宋_GB2312" w:hAnsi="华文楷体" w:eastAsia="仿宋_GB2312"/>
                <w:bCs/>
                <w:sz w:val="22"/>
                <w:szCs w:val="21"/>
              </w:rPr>
              <w:t>电磁兼容 通用标准 工业环境中的发射</w:t>
            </w:r>
          </w:p>
        </w:tc>
        <w:tc>
          <w:tcPr>
            <w:tcW w:w="1372" w:type="dxa"/>
            <w:vMerge w:val="continue"/>
            <w:vAlign w:val="center"/>
          </w:tcPr>
          <w:p>
            <w:pPr>
              <w:jc w:val="center"/>
              <w:rPr>
                <w:rFonts w:hint="eastAsia" w:ascii="仿宋_GB2312" w:hAnsi="华文楷体" w:eastAsia="仿宋_GB2312"/>
                <w:bCs/>
                <w:sz w:val="22"/>
                <w:szCs w:val="21"/>
              </w:rPr>
            </w:pPr>
          </w:p>
        </w:tc>
      </w:tr>
    </w:tbl>
    <w:p>
      <w:pPr>
        <w:spacing w:before="40" w:after="40" w:line="360" w:lineRule="auto"/>
        <w:ind w:firstLine="405"/>
        <w:rPr>
          <w:rFonts w:hint="eastAsia" w:ascii="仿宋_GB2312" w:hAnsi="华文楷体" w:eastAsia="仿宋_GB2312"/>
          <w:bCs/>
          <w:sz w:val="22"/>
          <w:szCs w:val="21"/>
        </w:rPr>
      </w:pPr>
      <w:r>
        <w:rPr>
          <w:rFonts w:hint="eastAsia" w:ascii="仿宋_GB2312" w:hAnsi="华文楷体" w:eastAsia="仿宋_GB2312"/>
          <w:bCs/>
          <w:sz w:val="22"/>
          <w:szCs w:val="21"/>
        </w:rPr>
        <w:t>（2）对应出口销售的机器人认证（IEC标准）：</w:t>
      </w:r>
    </w:p>
    <w:tbl>
      <w:tblPr>
        <w:tblStyle w:val="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718"/>
        <w:gridCol w:w="432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序号</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标准编号</w:t>
            </w:r>
          </w:p>
        </w:tc>
        <w:tc>
          <w:tcPr>
            <w:tcW w:w="4320"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标准名称</w:t>
            </w:r>
          </w:p>
        </w:tc>
        <w:tc>
          <w:tcPr>
            <w:tcW w:w="1354"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1</w:t>
            </w:r>
          </w:p>
        </w:tc>
        <w:tc>
          <w:tcPr>
            <w:tcW w:w="2718"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IEC 60204-1:2005</w:t>
            </w:r>
            <w:r>
              <w:rPr>
                <w:rFonts w:hint="eastAsia" w:ascii="仿宋_GB2312" w:hAnsi="华文楷体" w:eastAsia="仿宋_GB2312"/>
                <w:bCs/>
                <w:sz w:val="22"/>
                <w:szCs w:val="21"/>
              </w:rPr>
              <w:t>+A1:2008</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Safety of machinery - Electrical equipment of machines - Part 1: General requirements</w:t>
            </w:r>
          </w:p>
        </w:tc>
        <w:tc>
          <w:tcPr>
            <w:tcW w:w="1354"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2</w:t>
            </w:r>
          </w:p>
        </w:tc>
        <w:tc>
          <w:tcPr>
            <w:tcW w:w="2718"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ISO 12100:2010</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Safety of machinery -- General principles for design -- Risk assessment and risk reduction</w:t>
            </w:r>
          </w:p>
        </w:tc>
        <w:tc>
          <w:tcPr>
            <w:tcW w:w="1354"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3</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 xml:space="preserve">ISO 10218-2:2011 </w:t>
            </w:r>
          </w:p>
        </w:tc>
        <w:tc>
          <w:tcPr>
            <w:tcW w:w="4320"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Robots and robotic devices -- Safety requirements for industrial robots -- Part 2: Robot systems and integration</w:t>
            </w:r>
          </w:p>
        </w:tc>
        <w:tc>
          <w:tcPr>
            <w:tcW w:w="1354"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针对机器人系统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4</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IEC 61000-6-1:2005</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Electromagnetic compatibility (EMC) - Part 6-1: Generic standards - Immunity for residential, commercial and light-industrial environments</w:t>
            </w:r>
          </w:p>
        </w:tc>
        <w:tc>
          <w:tcPr>
            <w:tcW w:w="1354"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针对轻工业环境中使用的机器人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5</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IEC 61000-6-3:2006+A1:2010</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Electromagnetic compatibility (EMC) - Part 6-3: Generic standards - Emission standard for residential, commercial and light-industrial environments</w:t>
            </w:r>
          </w:p>
        </w:tc>
        <w:tc>
          <w:tcPr>
            <w:tcW w:w="1354" w:type="dxa"/>
            <w:vMerge w:val="continue"/>
            <w:vAlign w:val="center"/>
          </w:tcPr>
          <w:p>
            <w:pPr>
              <w:pStyle w:val="3"/>
              <w:spacing w:line="360" w:lineRule="auto"/>
              <w:ind w:firstLine="0"/>
              <w:jc w:val="center"/>
              <w:rPr>
                <w:rFonts w:hint="eastAsia" w:ascii="仿宋_GB2312" w:hAnsi="华文楷体" w:eastAsia="仿宋_GB2312"/>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6</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IEC 61000-6-2:2005</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Electromagnetic compatibility (EMC) - Part 6-2: Generic standards - Immunity for industrial environments</w:t>
            </w:r>
          </w:p>
        </w:tc>
        <w:tc>
          <w:tcPr>
            <w:tcW w:w="1354"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7</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IEC 61000-6-4:2006+</w:t>
            </w:r>
            <w:r>
              <w:rPr>
                <w:rFonts w:hint="eastAsia" w:ascii="仿宋_GB2312" w:hAnsi="华文楷体" w:eastAsia="仿宋_GB2312"/>
                <w:bCs/>
                <w:sz w:val="22"/>
                <w:szCs w:val="21"/>
              </w:rPr>
              <w:t>A</w:t>
            </w:r>
            <w:r>
              <w:rPr>
                <w:rFonts w:ascii="仿宋_GB2312" w:hAnsi="华文楷体" w:eastAsia="仿宋_GB2312"/>
                <w:bCs/>
                <w:sz w:val="22"/>
                <w:szCs w:val="21"/>
              </w:rPr>
              <w:t>1:2010</w:t>
            </w:r>
          </w:p>
        </w:tc>
        <w:tc>
          <w:tcPr>
            <w:tcW w:w="4320"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Electromagnetic compatibility (EMC) - Part 6-4: Generic standards - Emission standard for industrial environments</w:t>
            </w:r>
          </w:p>
        </w:tc>
        <w:tc>
          <w:tcPr>
            <w:tcW w:w="1354" w:type="dxa"/>
            <w:vMerge w:val="continue"/>
            <w:vAlign w:val="center"/>
          </w:tcPr>
          <w:p>
            <w:pPr>
              <w:pStyle w:val="3"/>
              <w:spacing w:line="360" w:lineRule="auto"/>
              <w:ind w:firstLine="0"/>
              <w:jc w:val="center"/>
              <w:rPr>
                <w:rFonts w:hint="eastAsia" w:ascii="仿宋_GB2312" w:hAnsi="华文楷体" w:eastAsia="仿宋_GB2312"/>
                <w:bCs/>
                <w:sz w:val="22"/>
                <w:szCs w:val="21"/>
              </w:rPr>
            </w:pPr>
          </w:p>
        </w:tc>
      </w:tr>
    </w:tbl>
    <w:p>
      <w:pPr>
        <w:spacing w:before="40" w:after="40" w:line="360" w:lineRule="auto"/>
        <w:ind w:firstLine="405"/>
        <w:rPr>
          <w:rFonts w:hint="eastAsia" w:ascii="仿宋_GB2312" w:hAnsi="华文楷体" w:eastAsia="仿宋_GB2312"/>
          <w:bCs/>
          <w:sz w:val="22"/>
          <w:szCs w:val="21"/>
        </w:rPr>
      </w:pPr>
      <w:r>
        <w:rPr>
          <w:rFonts w:hint="eastAsia" w:ascii="仿宋_GB2312" w:hAnsi="华文楷体" w:eastAsia="仿宋_GB2312"/>
          <w:bCs/>
          <w:sz w:val="22"/>
          <w:szCs w:val="21"/>
        </w:rPr>
        <w:t>（3）对应出口销售的机器人认证（EN标准）：</w:t>
      </w:r>
    </w:p>
    <w:tbl>
      <w:tblPr>
        <w:tblStyle w:val="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718"/>
        <w:gridCol w:w="433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序号</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标准编号</w:t>
            </w:r>
          </w:p>
        </w:tc>
        <w:tc>
          <w:tcPr>
            <w:tcW w:w="4332"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标准名称</w:t>
            </w:r>
          </w:p>
        </w:tc>
        <w:tc>
          <w:tcPr>
            <w:tcW w:w="1342"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1</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EN 60204-1:2006</w:t>
            </w:r>
            <w:r>
              <w:rPr>
                <w:rFonts w:hint="eastAsia" w:ascii="仿宋_GB2312" w:hAnsi="华文楷体" w:eastAsia="仿宋_GB2312"/>
                <w:bCs/>
                <w:sz w:val="22"/>
                <w:szCs w:val="21"/>
              </w:rPr>
              <w:t>+</w:t>
            </w:r>
            <w:r>
              <w:rPr>
                <w:rFonts w:ascii="仿宋_GB2312" w:hAnsi="华文楷体" w:eastAsia="仿宋_GB2312"/>
                <w:bCs/>
                <w:sz w:val="22"/>
                <w:szCs w:val="21"/>
              </w:rPr>
              <w:t>A1:2009</w:t>
            </w:r>
          </w:p>
        </w:tc>
        <w:tc>
          <w:tcPr>
            <w:tcW w:w="4332"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Safety of machinery - Electrical equipment of machines - Part 1: General requirements</w:t>
            </w:r>
          </w:p>
        </w:tc>
        <w:tc>
          <w:tcPr>
            <w:tcW w:w="134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2</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 xml:space="preserve">EN </w:t>
            </w:r>
            <w:r>
              <w:rPr>
                <w:rFonts w:ascii="仿宋_GB2312" w:hAnsi="华文楷体" w:eastAsia="仿宋_GB2312"/>
                <w:bCs/>
                <w:sz w:val="22"/>
                <w:szCs w:val="21"/>
              </w:rPr>
              <w:t>ISO 12100:2010</w:t>
            </w:r>
          </w:p>
        </w:tc>
        <w:tc>
          <w:tcPr>
            <w:tcW w:w="4332"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Safety of machinery - General principles for design - Risk assessment and risk reduction </w:t>
            </w:r>
          </w:p>
        </w:tc>
        <w:tc>
          <w:tcPr>
            <w:tcW w:w="134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3</w:t>
            </w:r>
          </w:p>
        </w:tc>
        <w:tc>
          <w:tcPr>
            <w:tcW w:w="2718"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EN ISO 10218-2:2011</w:t>
            </w:r>
          </w:p>
        </w:tc>
        <w:tc>
          <w:tcPr>
            <w:tcW w:w="4332"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 xml:space="preserve">Robots and robotic devices - Safety requirements for industrial robots - Part 2: Robot systems and integration </w:t>
            </w:r>
          </w:p>
        </w:tc>
        <w:tc>
          <w:tcPr>
            <w:tcW w:w="1342" w:type="dxa"/>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针对机器人系统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4</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hint="eastAsia" w:ascii="仿宋_GB2312" w:hAnsi="华文楷体" w:eastAsia="仿宋_GB2312"/>
                <w:bCs/>
                <w:sz w:val="22"/>
                <w:szCs w:val="21"/>
              </w:rPr>
              <w:t>EN</w:t>
            </w:r>
            <w:r>
              <w:rPr>
                <w:rFonts w:ascii="仿宋_GB2312" w:hAnsi="华文楷体" w:eastAsia="仿宋_GB2312"/>
                <w:bCs/>
                <w:sz w:val="22"/>
                <w:szCs w:val="21"/>
              </w:rPr>
              <w:t xml:space="preserve"> 61000-6-1:2007</w:t>
            </w:r>
          </w:p>
        </w:tc>
        <w:tc>
          <w:tcPr>
            <w:tcW w:w="4332"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Electromagnetic compatibility (EMC) - Part 6-1: Generic standards - Immunity for residential, commercial and light-industrial environments</w:t>
            </w:r>
          </w:p>
        </w:tc>
        <w:tc>
          <w:tcPr>
            <w:tcW w:w="1342"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针对轻工业环境中使用的机器人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5</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EN 61000-6-3:2007</w:t>
            </w:r>
            <w:r>
              <w:rPr>
                <w:rFonts w:hint="eastAsia" w:ascii="仿宋_GB2312" w:hAnsi="华文楷体" w:eastAsia="仿宋_GB2312"/>
                <w:bCs/>
                <w:sz w:val="22"/>
                <w:szCs w:val="21"/>
              </w:rPr>
              <w:t>+</w:t>
            </w:r>
            <w:r>
              <w:rPr>
                <w:rFonts w:ascii="仿宋_GB2312" w:hAnsi="华文楷体" w:eastAsia="仿宋_GB2312"/>
                <w:bCs/>
                <w:sz w:val="22"/>
                <w:szCs w:val="21"/>
              </w:rPr>
              <w:t>A1:2011</w:t>
            </w:r>
          </w:p>
        </w:tc>
        <w:tc>
          <w:tcPr>
            <w:tcW w:w="4332"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Electromagnetic compatibility (EMC) - Part 6-3: Generic standards - Emission standard for residential, commercial and light-industrial environments</w:t>
            </w:r>
          </w:p>
        </w:tc>
        <w:tc>
          <w:tcPr>
            <w:tcW w:w="1342" w:type="dxa"/>
            <w:vMerge w:val="continue"/>
            <w:vAlign w:val="center"/>
          </w:tcPr>
          <w:p>
            <w:pPr>
              <w:pStyle w:val="3"/>
              <w:spacing w:line="360" w:lineRule="auto"/>
              <w:ind w:firstLine="0"/>
              <w:jc w:val="center"/>
              <w:rPr>
                <w:rFonts w:ascii="仿宋_GB2312" w:hAnsi="华文楷体" w:eastAsia="仿宋_GB2312"/>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6</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EN 61000-6-2:2005</w:t>
            </w:r>
          </w:p>
        </w:tc>
        <w:tc>
          <w:tcPr>
            <w:tcW w:w="4332"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Electromagnetic compatibility (EMC) - Part 6-2: Generic standards - Immunity for industrial environments</w:t>
            </w:r>
          </w:p>
        </w:tc>
        <w:tc>
          <w:tcPr>
            <w:tcW w:w="1342" w:type="dxa"/>
            <w:vMerge w:val="restart"/>
            <w:vAlign w:val="center"/>
          </w:tcPr>
          <w:p>
            <w:pPr>
              <w:jc w:val="center"/>
              <w:rPr>
                <w:rFonts w:hint="eastAsia" w:ascii="仿宋_GB2312" w:hAnsi="华文楷体" w:eastAsia="仿宋_GB2312"/>
                <w:bCs/>
                <w:sz w:val="22"/>
                <w:szCs w:val="21"/>
              </w:rPr>
            </w:pPr>
            <w:r>
              <w:rPr>
                <w:rFonts w:hint="eastAsia" w:ascii="仿宋_GB2312" w:hAnsi="华文楷体" w:eastAsia="仿宋_GB2312"/>
                <w:bCs/>
                <w:sz w:val="22"/>
                <w:szCs w:val="21"/>
              </w:rPr>
              <w:t>针对工业环境中使用的机器人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pStyle w:val="3"/>
              <w:spacing w:line="360" w:lineRule="auto"/>
              <w:ind w:firstLine="0"/>
              <w:jc w:val="center"/>
              <w:rPr>
                <w:rFonts w:hint="eastAsia" w:ascii="仿宋_GB2312" w:hAnsi="华文楷体" w:eastAsia="仿宋_GB2312"/>
                <w:bCs/>
                <w:sz w:val="22"/>
                <w:szCs w:val="21"/>
              </w:rPr>
            </w:pPr>
            <w:r>
              <w:rPr>
                <w:rFonts w:hint="eastAsia" w:ascii="仿宋_GB2312" w:hAnsi="华文楷体" w:eastAsia="仿宋_GB2312"/>
                <w:bCs/>
                <w:sz w:val="22"/>
                <w:szCs w:val="21"/>
              </w:rPr>
              <w:t>7</w:t>
            </w:r>
          </w:p>
        </w:tc>
        <w:tc>
          <w:tcPr>
            <w:tcW w:w="2718" w:type="dxa"/>
            <w:vAlign w:val="center"/>
          </w:tcPr>
          <w:p>
            <w:pPr>
              <w:pStyle w:val="3"/>
              <w:spacing w:line="360" w:lineRule="auto"/>
              <w:ind w:firstLine="0"/>
              <w:jc w:val="center"/>
              <w:rPr>
                <w:rFonts w:ascii="仿宋_GB2312" w:hAnsi="华文楷体" w:eastAsia="仿宋_GB2312"/>
                <w:bCs/>
                <w:sz w:val="22"/>
                <w:szCs w:val="21"/>
              </w:rPr>
            </w:pPr>
            <w:r>
              <w:rPr>
                <w:rFonts w:ascii="仿宋_GB2312" w:hAnsi="华文楷体" w:eastAsia="仿宋_GB2312"/>
                <w:bCs/>
                <w:sz w:val="22"/>
                <w:szCs w:val="21"/>
              </w:rPr>
              <w:t>EN 61000-6-4:2007</w:t>
            </w:r>
            <w:r>
              <w:rPr>
                <w:rFonts w:hint="eastAsia" w:ascii="仿宋_GB2312" w:hAnsi="华文楷体" w:eastAsia="仿宋_GB2312"/>
                <w:bCs/>
                <w:sz w:val="22"/>
                <w:szCs w:val="21"/>
              </w:rPr>
              <w:t>+</w:t>
            </w:r>
            <w:r>
              <w:rPr>
                <w:rFonts w:ascii="仿宋_GB2312" w:hAnsi="华文楷体" w:eastAsia="仿宋_GB2312"/>
                <w:bCs/>
                <w:sz w:val="22"/>
                <w:szCs w:val="21"/>
              </w:rPr>
              <w:t>A1:201</w:t>
            </w:r>
            <w:r>
              <w:rPr>
                <w:rFonts w:hint="eastAsia" w:ascii="仿宋_GB2312" w:hAnsi="华文楷体" w:eastAsia="仿宋_GB2312"/>
                <w:bCs/>
                <w:sz w:val="22"/>
                <w:szCs w:val="21"/>
              </w:rPr>
              <w:t>1</w:t>
            </w:r>
          </w:p>
        </w:tc>
        <w:tc>
          <w:tcPr>
            <w:tcW w:w="4332" w:type="dxa"/>
            <w:vAlign w:val="center"/>
          </w:tcPr>
          <w:p>
            <w:pPr>
              <w:pStyle w:val="3"/>
              <w:spacing w:line="360" w:lineRule="auto"/>
              <w:ind w:firstLine="0"/>
              <w:jc w:val="center"/>
              <w:rPr>
                <w:rFonts w:hint="eastAsia" w:ascii="仿宋_GB2312" w:hAnsi="华文楷体" w:eastAsia="仿宋_GB2312"/>
                <w:bCs/>
                <w:sz w:val="22"/>
                <w:szCs w:val="21"/>
              </w:rPr>
            </w:pPr>
            <w:r>
              <w:rPr>
                <w:rFonts w:ascii="仿宋_GB2312" w:hAnsi="华文楷体" w:eastAsia="仿宋_GB2312"/>
                <w:bCs/>
                <w:sz w:val="22"/>
                <w:szCs w:val="21"/>
              </w:rPr>
              <w:t>Electromagnetic compatibility (EMC) - Part 6-4: Generic standards - Emission standard for industrial environments</w:t>
            </w:r>
          </w:p>
        </w:tc>
        <w:tc>
          <w:tcPr>
            <w:tcW w:w="1342" w:type="dxa"/>
            <w:vMerge w:val="continue"/>
            <w:vAlign w:val="center"/>
          </w:tcPr>
          <w:p>
            <w:pPr>
              <w:pStyle w:val="3"/>
              <w:spacing w:line="360" w:lineRule="auto"/>
              <w:ind w:firstLine="0"/>
              <w:jc w:val="center"/>
              <w:rPr>
                <w:rFonts w:hint="eastAsia" w:ascii="仿宋_GB2312" w:hAnsi="华文楷体" w:eastAsia="仿宋_GB2312"/>
                <w:bCs/>
                <w:sz w:val="22"/>
                <w:szCs w:val="21"/>
              </w:rPr>
            </w:pPr>
          </w:p>
        </w:tc>
      </w:tr>
    </w:tbl>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rPr>
          <w:rFonts w:hint="eastAsia" w:asciiTheme="majorEastAsia" w:hAnsiTheme="majorEastAsia" w:eastAsiaTheme="majorEastAsia" w:cstheme="minorBidi"/>
          <w:b w:val="0"/>
          <w:bCs/>
          <w:kern w:val="2"/>
          <w:sz w:val="22"/>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25F34"/>
    <w:rsid w:val="34F443A2"/>
    <w:rsid w:val="73CC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Kuangji</dc:creator>
  <cp:lastModifiedBy>Administrator</cp:lastModifiedBy>
  <dcterms:modified xsi:type="dcterms:W3CDTF">2018-01-29T08:09:21Z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